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B776BF" w14:textId="77777777" w:rsidR="00E57C3C" w:rsidRPr="003E42F2" w:rsidRDefault="00E57C3C" w:rsidP="003E42F2">
      <w:pPr>
        <w:pStyle w:val="BodyText"/>
        <w:spacing w:before="90"/>
        <w:ind w:left="1021" w:right="122" w:hanging="200"/>
        <w:jc w:val="center"/>
        <w:rPr>
          <w:rFonts w:ascii="Calibri" w:hAnsi="Calibri" w:cs="Calibri"/>
        </w:rPr>
      </w:pPr>
      <w:r w:rsidRPr="003E42F2">
        <w:rPr>
          <w:rFonts w:ascii="Calibri" w:hAnsi="Calibri" w:cs="Calibri"/>
        </w:rPr>
        <w:t>Приложение № 4 към чл. 12, ал. 1, т. 1 и чл. 14 от Наредба № 2 от 09.11.2021 г. за първоначално и последващо разкриване на информация при публично предлагане на ценни книжа и допускане на ценни книжа до търговия на регулиран пазар</w:t>
      </w:r>
    </w:p>
    <w:p w14:paraId="07535D73" w14:textId="10B39F27" w:rsidR="00E57C3C" w:rsidRPr="003E42F2" w:rsidRDefault="00E57C3C" w:rsidP="003E42F2">
      <w:pPr>
        <w:pStyle w:val="BodyText"/>
        <w:spacing w:before="90"/>
        <w:ind w:left="1021" w:right="122" w:hanging="200"/>
        <w:jc w:val="center"/>
        <w:rPr>
          <w:rFonts w:ascii="Calibri" w:hAnsi="Calibri" w:cs="Calibri"/>
        </w:rPr>
      </w:pPr>
      <w:r w:rsidRPr="003E42F2">
        <w:rPr>
          <w:rFonts w:ascii="Calibri" w:hAnsi="Calibri" w:cs="Calibri"/>
        </w:rPr>
        <w:t>Информация към тримесечен финансов отчет на „</w:t>
      </w:r>
      <w:r w:rsidR="003E109E" w:rsidRPr="003E42F2">
        <w:rPr>
          <w:rFonts w:ascii="Calibri" w:hAnsi="Calibri" w:cs="Calibri"/>
        </w:rPr>
        <w:t>Компас Фонд за Вземания</w:t>
      </w:r>
      <w:r w:rsidRPr="003E42F2">
        <w:rPr>
          <w:rFonts w:ascii="Calibri" w:hAnsi="Calibri" w:cs="Calibri"/>
        </w:rPr>
        <w:t>“ АДСИЦ от 01.</w:t>
      </w:r>
      <w:r w:rsidR="007E7643" w:rsidRPr="003E42F2">
        <w:rPr>
          <w:rFonts w:ascii="Calibri" w:hAnsi="Calibri" w:cs="Calibri"/>
        </w:rPr>
        <w:t>0</w:t>
      </w:r>
      <w:r w:rsidR="00325774" w:rsidRPr="003E42F2">
        <w:rPr>
          <w:rFonts w:ascii="Calibri" w:hAnsi="Calibri" w:cs="Calibri"/>
        </w:rPr>
        <w:t>4</w:t>
      </w:r>
      <w:r w:rsidRPr="003E42F2">
        <w:rPr>
          <w:rFonts w:ascii="Calibri" w:hAnsi="Calibri" w:cs="Calibri"/>
        </w:rPr>
        <w:t>.202</w:t>
      </w:r>
      <w:r w:rsidR="003460DC" w:rsidRPr="003E42F2">
        <w:rPr>
          <w:rFonts w:ascii="Calibri" w:hAnsi="Calibri" w:cs="Calibri"/>
        </w:rPr>
        <w:t>3</w:t>
      </w:r>
      <w:r w:rsidRPr="003E42F2">
        <w:rPr>
          <w:rFonts w:ascii="Calibri" w:hAnsi="Calibri" w:cs="Calibri"/>
        </w:rPr>
        <w:t xml:space="preserve"> г. до 3</w:t>
      </w:r>
      <w:r w:rsidR="00325774" w:rsidRPr="003E42F2">
        <w:rPr>
          <w:rFonts w:ascii="Calibri" w:hAnsi="Calibri" w:cs="Calibri"/>
        </w:rPr>
        <w:t>0</w:t>
      </w:r>
      <w:r w:rsidRPr="003E42F2">
        <w:rPr>
          <w:rFonts w:ascii="Calibri" w:hAnsi="Calibri" w:cs="Calibri"/>
        </w:rPr>
        <w:t>.</w:t>
      </w:r>
      <w:r w:rsidR="007E7643" w:rsidRPr="003E42F2">
        <w:rPr>
          <w:rFonts w:ascii="Calibri" w:hAnsi="Calibri" w:cs="Calibri"/>
        </w:rPr>
        <w:t>0</w:t>
      </w:r>
      <w:r w:rsidR="00325774" w:rsidRPr="003E42F2">
        <w:rPr>
          <w:rFonts w:ascii="Calibri" w:hAnsi="Calibri" w:cs="Calibri"/>
        </w:rPr>
        <w:t>6</w:t>
      </w:r>
      <w:r w:rsidRPr="003E42F2">
        <w:rPr>
          <w:rFonts w:ascii="Calibri" w:hAnsi="Calibri" w:cs="Calibri"/>
        </w:rPr>
        <w:t>.202</w:t>
      </w:r>
      <w:r w:rsidR="003460DC" w:rsidRPr="003E42F2">
        <w:rPr>
          <w:rFonts w:ascii="Calibri" w:hAnsi="Calibri" w:cs="Calibri"/>
        </w:rPr>
        <w:t>3</w:t>
      </w:r>
      <w:r w:rsidRPr="003E42F2">
        <w:rPr>
          <w:rFonts w:ascii="Calibri" w:hAnsi="Calibri" w:cs="Calibri"/>
        </w:rPr>
        <w:t xml:space="preserve"> г. и с натрупване от 01.01.202</w:t>
      </w:r>
      <w:r w:rsidR="003460DC" w:rsidRPr="003E42F2">
        <w:rPr>
          <w:rFonts w:ascii="Calibri" w:hAnsi="Calibri" w:cs="Calibri"/>
        </w:rPr>
        <w:t>3</w:t>
      </w:r>
      <w:r w:rsidRPr="003E42F2">
        <w:rPr>
          <w:rFonts w:ascii="Calibri" w:hAnsi="Calibri" w:cs="Calibri"/>
        </w:rPr>
        <w:t xml:space="preserve"> г. до 3</w:t>
      </w:r>
      <w:r w:rsidR="00325774" w:rsidRPr="003E42F2">
        <w:rPr>
          <w:rFonts w:ascii="Calibri" w:hAnsi="Calibri" w:cs="Calibri"/>
        </w:rPr>
        <w:t>0</w:t>
      </w:r>
      <w:r w:rsidRPr="003E42F2">
        <w:rPr>
          <w:rFonts w:ascii="Calibri" w:hAnsi="Calibri" w:cs="Calibri"/>
        </w:rPr>
        <w:t>.</w:t>
      </w:r>
      <w:r w:rsidR="007E7643" w:rsidRPr="003E42F2">
        <w:rPr>
          <w:rFonts w:ascii="Calibri" w:hAnsi="Calibri" w:cs="Calibri"/>
        </w:rPr>
        <w:t>0</w:t>
      </w:r>
      <w:r w:rsidR="00325774" w:rsidRPr="003E42F2">
        <w:rPr>
          <w:rFonts w:ascii="Calibri" w:hAnsi="Calibri" w:cs="Calibri"/>
        </w:rPr>
        <w:t>6</w:t>
      </w:r>
      <w:r w:rsidRPr="003E42F2">
        <w:rPr>
          <w:rFonts w:ascii="Calibri" w:hAnsi="Calibri" w:cs="Calibri"/>
        </w:rPr>
        <w:t>.202</w:t>
      </w:r>
      <w:r w:rsidR="003460DC" w:rsidRPr="003E42F2">
        <w:rPr>
          <w:rFonts w:ascii="Calibri" w:hAnsi="Calibri" w:cs="Calibri"/>
        </w:rPr>
        <w:t>3</w:t>
      </w:r>
      <w:r w:rsidRPr="003E42F2">
        <w:rPr>
          <w:rFonts w:ascii="Calibri" w:hAnsi="Calibri" w:cs="Calibri"/>
        </w:rPr>
        <w:t xml:space="preserve"> г.</w:t>
      </w:r>
    </w:p>
    <w:p w14:paraId="2434B303" w14:textId="77777777" w:rsidR="00E57C3C" w:rsidRPr="003E42F2" w:rsidRDefault="00E57C3C" w:rsidP="003E42F2">
      <w:pPr>
        <w:pStyle w:val="BodyText"/>
        <w:spacing w:before="90"/>
        <w:ind w:left="1021" w:right="122" w:hanging="200"/>
        <w:rPr>
          <w:rFonts w:ascii="Calibri" w:hAnsi="Calibri" w:cs="Calibri"/>
          <w:b w:val="0"/>
          <w:bCs w:val="0"/>
        </w:rPr>
      </w:pPr>
    </w:p>
    <w:p w14:paraId="14C43057" w14:textId="77777777" w:rsidR="00E57C3C" w:rsidRPr="003E42F2" w:rsidRDefault="00E57C3C" w:rsidP="003E42F2">
      <w:pPr>
        <w:pStyle w:val="BodyText"/>
        <w:spacing w:before="90"/>
        <w:ind w:left="1276" w:right="122" w:hanging="283"/>
        <w:rPr>
          <w:rFonts w:ascii="Calibri" w:hAnsi="Calibri" w:cs="Calibri"/>
        </w:rPr>
      </w:pPr>
      <w:r w:rsidRPr="003E42F2">
        <w:rPr>
          <w:rFonts w:ascii="Calibri" w:hAnsi="Calibri" w:cs="Calibri"/>
        </w:rPr>
        <w:t xml:space="preserve"> 1.1.  Промяна на лицата, упражняващи контрол върху Дружеството.</w:t>
      </w:r>
    </w:p>
    <w:p w14:paraId="457F4090" w14:textId="77777777" w:rsidR="00E57C3C" w:rsidRPr="003E42F2" w:rsidRDefault="00E57C3C" w:rsidP="003E42F2">
      <w:pPr>
        <w:pStyle w:val="BodyText"/>
        <w:spacing w:before="90"/>
        <w:ind w:left="1021" w:right="122" w:hanging="200"/>
        <w:rPr>
          <w:rFonts w:ascii="Calibri" w:hAnsi="Calibri" w:cs="Calibri"/>
          <w:b w:val="0"/>
          <w:bCs w:val="0"/>
        </w:rPr>
      </w:pPr>
      <w:r w:rsidRPr="003E42F2">
        <w:rPr>
          <w:rFonts w:ascii="Calibri" w:hAnsi="Calibri" w:cs="Calibri"/>
          <w:b w:val="0"/>
          <w:bCs w:val="0"/>
        </w:rPr>
        <w:tab/>
        <w:t>Няма такава промяна през текущото тримесечие.</w:t>
      </w:r>
    </w:p>
    <w:p w14:paraId="5625FEEF" w14:textId="768C80DA" w:rsidR="00E57C3C" w:rsidRPr="003E42F2" w:rsidRDefault="00E57C3C" w:rsidP="003E42F2">
      <w:pPr>
        <w:pStyle w:val="BodyText"/>
        <w:spacing w:before="90"/>
        <w:ind w:left="1021" w:right="122" w:hanging="200"/>
        <w:jc w:val="both"/>
        <w:rPr>
          <w:rFonts w:ascii="Calibri" w:hAnsi="Calibri" w:cs="Calibri"/>
        </w:rPr>
      </w:pPr>
      <w:r w:rsidRPr="003E42F2">
        <w:rPr>
          <w:rFonts w:ascii="Calibri" w:hAnsi="Calibri" w:cs="Calibri"/>
        </w:rPr>
        <w:t xml:space="preserve"> </w:t>
      </w:r>
      <w:r w:rsidR="003E42F2">
        <w:rPr>
          <w:rFonts w:ascii="Calibri" w:hAnsi="Calibri" w:cs="Calibri"/>
        </w:rPr>
        <w:t xml:space="preserve">   </w:t>
      </w:r>
      <w:r w:rsidRPr="003E42F2">
        <w:rPr>
          <w:rFonts w:ascii="Calibri" w:hAnsi="Calibri" w:cs="Calibri"/>
        </w:rPr>
        <w:t>1.2.  Откриване на производство по несъстоятелност за Дружеството или за</w:t>
      </w:r>
      <w:r w:rsidR="008E4915" w:rsidRPr="003E42F2">
        <w:rPr>
          <w:rFonts w:ascii="Calibri" w:hAnsi="Calibri" w:cs="Calibri"/>
        </w:rPr>
        <w:t xml:space="preserve"> </w:t>
      </w:r>
      <w:r w:rsidRPr="003E42F2">
        <w:rPr>
          <w:rFonts w:ascii="Calibri" w:hAnsi="Calibri" w:cs="Calibri"/>
        </w:rPr>
        <w:t>негово дъщерно дружество и всички съществени етапи, свързани с производството.</w:t>
      </w:r>
    </w:p>
    <w:p w14:paraId="0AB1F9BC" w14:textId="77777777" w:rsidR="00E57C3C" w:rsidRPr="003E42F2" w:rsidRDefault="00E57C3C" w:rsidP="003E42F2">
      <w:pPr>
        <w:pStyle w:val="BodyText"/>
        <w:spacing w:before="90"/>
        <w:ind w:left="1021" w:right="122" w:hanging="200"/>
        <w:rPr>
          <w:rFonts w:ascii="Calibri" w:hAnsi="Calibri" w:cs="Calibri"/>
          <w:b w:val="0"/>
          <w:bCs w:val="0"/>
        </w:rPr>
      </w:pPr>
      <w:r w:rsidRPr="003E42F2">
        <w:rPr>
          <w:rFonts w:ascii="Calibri" w:hAnsi="Calibri" w:cs="Calibri"/>
          <w:b w:val="0"/>
          <w:bCs w:val="0"/>
        </w:rPr>
        <w:tab/>
        <w:t>Не е откривано производство по несъстоятелност на Дружеството.</w:t>
      </w:r>
    </w:p>
    <w:p w14:paraId="68C64BC7" w14:textId="77777777" w:rsidR="00E57C3C" w:rsidRPr="003E42F2" w:rsidRDefault="00E57C3C" w:rsidP="003E42F2">
      <w:pPr>
        <w:pStyle w:val="BodyText"/>
        <w:spacing w:before="90"/>
        <w:ind w:left="1021" w:right="122" w:hanging="200"/>
        <w:rPr>
          <w:rFonts w:ascii="Calibri" w:hAnsi="Calibri" w:cs="Calibri"/>
        </w:rPr>
      </w:pPr>
      <w:r w:rsidRPr="003E42F2">
        <w:rPr>
          <w:rFonts w:ascii="Calibri" w:hAnsi="Calibri" w:cs="Calibri"/>
        </w:rPr>
        <w:t xml:space="preserve">     1.3. Сключване или изпълнение на съществени сделки.</w:t>
      </w:r>
    </w:p>
    <w:p w14:paraId="56B7D316" w14:textId="0F6333FE" w:rsidR="00325774" w:rsidRPr="003E42F2" w:rsidRDefault="00E57C3C" w:rsidP="003E42F2">
      <w:pPr>
        <w:pStyle w:val="BodyText"/>
        <w:spacing w:before="90"/>
        <w:ind w:left="1021" w:right="122" w:hanging="200"/>
        <w:jc w:val="both"/>
        <w:rPr>
          <w:rFonts w:ascii="Calibri" w:hAnsi="Calibri" w:cs="Calibri"/>
          <w:b w:val="0"/>
          <w:bCs w:val="0"/>
        </w:rPr>
      </w:pPr>
      <w:r w:rsidRPr="003E42F2">
        <w:rPr>
          <w:rFonts w:ascii="Calibri" w:hAnsi="Calibri" w:cs="Calibri"/>
          <w:b w:val="0"/>
          <w:bCs w:val="0"/>
        </w:rPr>
        <w:tab/>
      </w:r>
      <w:bookmarkStart w:id="0" w:name="_Hlk140237962"/>
      <w:r w:rsidR="00325774" w:rsidRPr="006B716F">
        <w:rPr>
          <w:rFonts w:ascii="Calibri" w:hAnsi="Calibri" w:cs="Calibri"/>
          <w:b w:val="0"/>
          <w:bCs w:val="0"/>
        </w:rPr>
        <w:t xml:space="preserve">На 05.04.2023 г. Дружеството </w:t>
      </w:r>
      <w:r w:rsidR="006E1DE3" w:rsidRPr="006B716F">
        <w:rPr>
          <w:rFonts w:ascii="Calibri" w:hAnsi="Calibri" w:cs="Calibri"/>
          <w:b w:val="0"/>
          <w:bCs w:val="0"/>
        </w:rPr>
        <w:t xml:space="preserve">сключи </w:t>
      </w:r>
      <w:r w:rsidR="00895FBC" w:rsidRPr="006B716F">
        <w:rPr>
          <w:rFonts w:ascii="Calibri" w:hAnsi="Calibri" w:cs="Calibri"/>
          <w:b w:val="0"/>
          <w:bCs w:val="0"/>
          <w:lang w:val="ru-RU"/>
        </w:rPr>
        <w:t>с „Иновативни финанси“ ООД, с ЕИК: 201257149</w:t>
      </w:r>
      <w:r w:rsidR="00895FBC" w:rsidRPr="006B716F">
        <w:rPr>
          <w:rFonts w:ascii="Calibri" w:hAnsi="Calibri" w:cs="Calibri"/>
          <w:b w:val="0"/>
          <w:bCs w:val="0"/>
        </w:rPr>
        <w:t xml:space="preserve">, </w:t>
      </w:r>
      <w:r w:rsidR="006E1DE3" w:rsidRPr="006B716F">
        <w:rPr>
          <w:rFonts w:ascii="Calibri" w:hAnsi="Calibri" w:cs="Calibri"/>
          <w:b w:val="0"/>
          <w:bCs w:val="0"/>
        </w:rPr>
        <w:t>Рамков договор за периодично прехвърляне на вземания (Рамков договор за цесия)  и Конкретен договор за цесия № 1, Конкретен договор за цесия № 2, Конкретен договор за цесия № 3 и Конкретен договор за цесия № 4  за придобиване на четири пакета от вземания</w:t>
      </w:r>
      <w:r w:rsidR="00861EC6" w:rsidRPr="006B716F">
        <w:rPr>
          <w:rFonts w:ascii="Calibri" w:hAnsi="Calibri" w:cs="Calibri"/>
          <w:b w:val="0"/>
          <w:bCs w:val="0"/>
        </w:rPr>
        <w:t xml:space="preserve"> </w:t>
      </w:r>
      <w:r w:rsidR="006E1DE3" w:rsidRPr="006B716F">
        <w:rPr>
          <w:rFonts w:ascii="Calibri" w:hAnsi="Calibri" w:cs="Calibri"/>
          <w:b w:val="0"/>
          <w:bCs w:val="0"/>
        </w:rPr>
        <w:t xml:space="preserve">  на цена</w:t>
      </w:r>
      <w:r w:rsidR="00861EC6" w:rsidRPr="006B716F">
        <w:rPr>
          <w:rFonts w:ascii="Calibri" w:hAnsi="Calibri" w:cs="Calibri"/>
          <w:b w:val="0"/>
          <w:bCs w:val="0"/>
        </w:rPr>
        <w:t xml:space="preserve"> </w:t>
      </w:r>
      <w:r w:rsidR="006E1DE3" w:rsidRPr="006B716F">
        <w:rPr>
          <w:rFonts w:ascii="Calibri" w:hAnsi="Calibri" w:cs="Calibri"/>
          <w:b w:val="0"/>
          <w:bCs w:val="0"/>
        </w:rPr>
        <w:t>от 9 9</w:t>
      </w:r>
      <w:r w:rsidR="00861EC6" w:rsidRPr="006B716F">
        <w:rPr>
          <w:rFonts w:ascii="Calibri" w:hAnsi="Calibri" w:cs="Calibri"/>
          <w:b w:val="0"/>
          <w:bCs w:val="0"/>
        </w:rPr>
        <w:t>72</w:t>
      </w:r>
      <w:r w:rsidR="006E1DE3" w:rsidRPr="006B716F">
        <w:rPr>
          <w:rFonts w:ascii="Calibri" w:hAnsi="Calibri" w:cs="Calibri"/>
          <w:b w:val="0"/>
          <w:bCs w:val="0"/>
        </w:rPr>
        <w:t xml:space="preserve"> </w:t>
      </w:r>
      <w:r w:rsidR="00861EC6" w:rsidRPr="006B716F">
        <w:rPr>
          <w:rFonts w:ascii="Calibri" w:hAnsi="Calibri" w:cs="Calibri"/>
          <w:b w:val="0"/>
          <w:bCs w:val="0"/>
        </w:rPr>
        <w:t>4</w:t>
      </w:r>
      <w:r w:rsidR="006E1DE3" w:rsidRPr="006B716F">
        <w:rPr>
          <w:rFonts w:ascii="Calibri" w:hAnsi="Calibri" w:cs="Calibri"/>
          <w:b w:val="0"/>
          <w:bCs w:val="0"/>
        </w:rPr>
        <w:t xml:space="preserve">00 лева, която </w:t>
      </w:r>
      <w:r w:rsidR="001F7308" w:rsidRPr="006B716F">
        <w:rPr>
          <w:rFonts w:ascii="Calibri" w:hAnsi="Calibri" w:cs="Calibri"/>
          <w:b w:val="0"/>
          <w:bCs w:val="0"/>
        </w:rPr>
        <w:t>е</w:t>
      </w:r>
      <w:r w:rsidR="006E1DE3" w:rsidRPr="006B716F">
        <w:rPr>
          <w:rFonts w:ascii="Calibri" w:hAnsi="Calibri" w:cs="Calibri"/>
          <w:b w:val="0"/>
          <w:bCs w:val="0"/>
        </w:rPr>
        <w:t xml:space="preserve"> заплатена със средства, набрани от облигационната емисия,  издадена от Дружеството.</w:t>
      </w:r>
      <w:r w:rsidR="006E1DE3" w:rsidRPr="003E42F2">
        <w:rPr>
          <w:rFonts w:ascii="Calibri" w:hAnsi="Calibri" w:cs="Calibri"/>
          <w:b w:val="0"/>
          <w:bCs w:val="0"/>
        </w:rPr>
        <w:t xml:space="preserve"> </w:t>
      </w:r>
    </w:p>
    <w:bookmarkEnd w:id="0"/>
    <w:p w14:paraId="6FB3FB22" w14:textId="7999DB6E" w:rsidR="00E57C3C" w:rsidRPr="003E42F2" w:rsidRDefault="00E57C3C" w:rsidP="003E42F2">
      <w:pPr>
        <w:pStyle w:val="BodyText"/>
        <w:spacing w:before="90"/>
        <w:ind w:left="1021" w:right="122" w:hanging="200"/>
        <w:rPr>
          <w:rFonts w:ascii="Calibri" w:hAnsi="Calibri" w:cs="Calibri"/>
        </w:rPr>
      </w:pPr>
      <w:r w:rsidRPr="003E42F2">
        <w:rPr>
          <w:rFonts w:ascii="Calibri" w:hAnsi="Calibri" w:cs="Calibri"/>
        </w:rPr>
        <w:t xml:space="preserve">     1.4. Решение за сключване, прекратяване и разваляне на договор за</w:t>
      </w:r>
      <w:r w:rsidR="008E4915" w:rsidRPr="00107C61">
        <w:rPr>
          <w:rFonts w:ascii="Calibri" w:hAnsi="Calibri" w:cs="Calibri"/>
          <w:lang w:val="ru-RU"/>
        </w:rPr>
        <w:t xml:space="preserve"> </w:t>
      </w:r>
      <w:r w:rsidRPr="003E42F2">
        <w:rPr>
          <w:rFonts w:ascii="Calibri" w:hAnsi="Calibri" w:cs="Calibri"/>
        </w:rPr>
        <w:t>съвместно предприятие.</w:t>
      </w:r>
    </w:p>
    <w:p w14:paraId="66B63A11" w14:textId="77777777" w:rsidR="00E57C3C" w:rsidRPr="003E42F2" w:rsidRDefault="00E57C3C" w:rsidP="003E42F2">
      <w:pPr>
        <w:pStyle w:val="BodyText"/>
        <w:spacing w:before="90"/>
        <w:ind w:left="1021" w:right="122" w:hanging="200"/>
        <w:rPr>
          <w:rFonts w:ascii="Calibri" w:hAnsi="Calibri" w:cs="Calibri"/>
          <w:b w:val="0"/>
          <w:bCs w:val="0"/>
        </w:rPr>
      </w:pPr>
      <w:r w:rsidRPr="003E42F2">
        <w:rPr>
          <w:rFonts w:ascii="Calibri" w:hAnsi="Calibri" w:cs="Calibri"/>
          <w:b w:val="0"/>
          <w:bCs w:val="0"/>
        </w:rPr>
        <w:tab/>
        <w:t>За изминалия период не са вземани решения за сключване, прекратяване и разваляне на договори за съвместни предприятия.</w:t>
      </w:r>
    </w:p>
    <w:p w14:paraId="77DE7B9C" w14:textId="77777777" w:rsidR="00E57C3C" w:rsidRPr="003E42F2" w:rsidRDefault="00E57C3C" w:rsidP="003E42F2">
      <w:pPr>
        <w:pStyle w:val="BodyText"/>
        <w:spacing w:before="90"/>
        <w:ind w:left="1021" w:right="122" w:hanging="200"/>
        <w:rPr>
          <w:rFonts w:ascii="Calibri" w:hAnsi="Calibri" w:cs="Calibri"/>
        </w:rPr>
      </w:pPr>
      <w:r w:rsidRPr="003E42F2">
        <w:rPr>
          <w:rFonts w:ascii="Calibri" w:hAnsi="Calibri" w:cs="Calibri"/>
        </w:rPr>
        <w:t xml:space="preserve">     1.5.  Промяна на одиторите на Дружеството и причини за промяната.</w:t>
      </w:r>
    </w:p>
    <w:p w14:paraId="2D38FCEB" w14:textId="77777777" w:rsidR="00E57C3C" w:rsidRPr="003E42F2" w:rsidRDefault="00E57C3C" w:rsidP="003E42F2">
      <w:pPr>
        <w:pStyle w:val="BodyText"/>
        <w:spacing w:before="90"/>
        <w:ind w:left="1021" w:right="122" w:hanging="200"/>
        <w:rPr>
          <w:rFonts w:ascii="Calibri" w:hAnsi="Calibri" w:cs="Calibri"/>
          <w:b w:val="0"/>
          <w:bCs w:val="0"/>
        </w:rPr>
      </w:pPr>
      <w:r w:rsidRPr="003E42F2">
        <w:rPr>
          <w:rFonts w:ascii="Calibri" w:hAnsi="Calibri" w:cs="Calibri"/>
          <w:b w:val="0"/>
          <w:bCs w:val="0"/>
        </w:rPr>
        <w:tab/>
        <w:t xml:space="preserve">Няма такава.  </w:t>
      </w:r>
    </w:p>
    <w:p w14:paraId="7E4B96EA" w14:textId="77777777" w:rsidR="00E57C3C" w:rsidRPr="003E42F2" w:rsidRDefault="00E57C3C" w:rsidP="003E42F2">
      <w:pPr>
        <w:pStyle w:val="BodyText"/>
        <w:spacing w:before="90"/>
        <w:ind w:left="1021" w:right="122" w:hanging="200"/>
        <w:rPr>
          <w:rFonts w:ascii="Calibri" w:hAnsi="Calibri" w:cs="Calibri"/>
        </w:rPr>
      </w:pPr>
      <w:r w:rsidRPr="003E42F2">
        <w:rPr>
          <w:rFonts w:ascii="Calibri" w:hAnsi="Calibri" w:cs="Calibri"/>
        </w:rPr>
        <w:t xml:space="preserve">     1.6.  Образуване или прекратяване на съдебно или арбитражно дело, отнасящо се до задължения или вземания на Дружеството или негово дъщерно дружество, с цена на иска най-малко 10 на сто от собствения капитал на Дружеството.</w:t>
      </w:r>
    </w:p>
    <w:p w14:paraId="34E97D27" w14:textId="77777777" w:rsidR="00E57C3C" w:rsidRPr="003E42F2" w:rsidRDefault="00E57C3C" w:rsidP="003E42F2">
      <w:pPr>
        <w:pStyle w:val="BodyText"/>
        <w:spacing w:before="90"/>
        <w:ind w:left="1021" w:right="122" w:hanging="200"/>
        <w:rPr>
          <w:rFonts w:ascii="Calibri" w:hAnsi="Calibri" w:cs="Calibri"/>
          <w:b w:val="0"/>
          <w:bCs w:val="0"/>
        </w:rPr>
      </w:pPr>
      <w:r w:rsidRPr="003E42F2">
        <w:rPr>
          <w:rFonts w:ascii="Calibri" w:hAnsi="Calibri" w:cs="Calibri"/>
          <w:b w:val="0"/>
          <w:bCs w:val="0"/>
        </w:rPr>
        <w:tab/>
        <w:t>През отчетния период няма настъпили такива обстоятелства.</w:t>
      </w:r>
    </w:p>
    <w:p w14:paraId="7C731B9A" w14:textId="77777777" w:rsidR="00E57C3C" w:rsidRPr="003E42F2" w:rsidRDefault="00E57C3C" w:rsidP="003E42F2">
      <w:pPr>
        <w:pStyle w:val="BodyText"/>
        <w:spacing w:before="90"/>
        <w:ind w:left="1021" w:right="122" w:hanging="200"/>
        <w:rPr>
          <w:rFonts w:ascii="Calibri" w:hAnsi="Calibri" w:cs="Calibri"/>
        </w:rPr>
      </w:pPr>
      <w:r w:rsidRPr="003E42F2">
        <w:rPr>
          <w:rFonts w:ascii="Calibri" w:hAnsi="Calibri" w:cs="Calibri"/>
        </w:rPr>
        <w:t xml:space="preserve">     1.7.  Покупка, продажба или учреден залог на дялови участия в търговски дружества от емитента или негово дъщерно дружество.</w:t>
      </w:r>
    </w:p>
    <w:p w14:paraId="66F6EC5D" w14:textId="77777777" w:rsidR="00E57C3C" w:rsidRPr="003E42F2" w:rsidRDefault="00E57C3C" w:rsidP="003E42F2">
      <w:pPr>
        <w:pStyle w:val="BodyText"/>
        <w:spacing w:before="90"/>
        <w:ind w:left="1021" w:right="122" w:hanging="200"/>
        <w:rPr>
          <w:rFonts w:ascii="Calibri" w:hAnsi="Calibri" w:cs="Calibri"/>
          <w:b w:val="0"/>
          <w:bCs w:val="0"/>
        </w:rPr>
      </w:pPr>
      <w:r w:rsidRPr="003E42F2">
        <w:rPr>
          <w:rFonts w:ascii="Calibri" w:hAnsi="Calibri" w:cs="Calibri"/>
          <w:b w:val="0"/>
          <w:bCs w:val="0"/>
        </w:rPr>
        <w:tab/>
        <w:t>През отчетния период няма настъпили такива обстоятелства.</w:t>
      </w:r>
    </w:p>
    <w:p w14:paraId="29D68AB9" w14:textId="0738275B" w:rsidR="00E57C3C" w:rsidRDefault="00E57C3C" w:rsidP="003E42F2">
      <w:pPr>
        <w:pStyle w:val="BodyText"/>
        <w:spacing w:before="90"/>
        <w:ind w:left="1021" w:right="122" w:hanging="200"/>
        <w:jc w:val="both"/>
        <w:rPr>
          <w:rFonts w:ascii="Calibri" w:hAnsi="Calibri" w:cs="Calibri"/>
        </w:rPr>
      </w:pPr>
      <w:r w:rsidRPr="003E42F2">
        <w:rPr>
          <w:rFonts w:ascii="Calibri" w:hAnsi="Calibri" w:cs="Calibri"/>
        </w:rPr>
        <w:t xml:space="preserve">     1.8. Други обстоятелства, които Дружеството счита, че биха могли да бъдат от значение за инвеститорите при вземане на решение да придобият, да продадат или да продължат да притежават публично предлагани ценни книжа.</w:t>
      </w:r>
    </w:p>
    <w:p w14:paraId="104A80CA" w14:textId="77777777" w:rsidR="003E42F2" w:rsidRPr="003E42F2" w:rsidRDefault="003E42F2" w:rsidP="003E42F2">
      <w:pPr>
        <w:pStyle w:val="BodyText"/>
        <w:spacing w:before="90"/>
        <w:ind w:left="1021" w:right="122" w:hanging="200"/>
        <w:jc w:val="both"/>
        <w:rPr>
          <w:rFonts w:ascii="Calibri" w:hAnsi="Calibri" w:cs="Calibri"/>
        </w:rPr>
      </w:pPr>
    </w:p>
    <w:p w14:paraId="342F3F88" w14:textId="5635B8D0" w:rsidR="008E4915" w:rsidRPr="00DA00C0" w:rsidRDefault="008E4915" w:rsidP="006B716F">
      <w:pPr>
        <w:widowControl/>
        <w:autoSpaceDE/>
        <w:autoSpaceDN/>
        <w:ind w:left="993" w:right="122"/>
        <w:contextualSpacing/>
        <w:jc w:val="both"/>
        <w:rPr>
          <w:rFonts w:ascii="Calibri" w:hAnsi="Calibri" w:cs="Calibri"/>
          <w:sz w:val="24"/>
          <w:szCs w:val="24"/>
          <w:lang w:bidi="ar-SA"/>
        </w:rPr>
      </w:pPr>
      <w:r w:rsidRPr="00DA00C0">
        <w:rPr>
          <w:rFonts w:ascii="Calibri" w:hAnsi="Calibri" w:cs="Calibri"/>
          <w:sz w:val="24"/>
          <w:szCs w:val="24"/>
          <w:lang w:bidi="ar-SA"/>
        </w:rPr>
        <w:t>На 1</w:t>
      </w:r>
      <w:r w:rsidRPr="00DA00C0">
        <w:rPr>
          <w:rFonts w:ascii="Calibri" w:hAnsi="Calibri" w:cs="Calibri"/>
          <w:sz w:val="24"/>
          <w:szCs w:val="24"/>
          <w:lang w:val="ru-RU" w:bidi="ar-SA"/>
        </w:rPr>
        <w:t>1</w:t>
      </w:r>
      <w:r w:rsidRPr="00DA00C0">
        <w:rPr>
          <w:rFonts w:ascii="Calibri" w:hAnsi="Calibri" w:cs="Calibri"/>
          <w:sz w:val="24"/>
          <w:szCs w:val="24"/>
          <w:lang w:bidi="ar-SA"/>
        </w:rPr>
        <w:t>.0</w:t>
      </w:r>
      <w:r w:rsidRPr="00DA00C0">
        <w:rPr>
          <w:rFonts w:ascii="Calibri" w:hAnsi="Calibri" w:cs="Calibri"/>
          <w:sz w:val="24"/>
          <w:szCs w:val="24"/>
          <w:lang w:val="ru-RU" w:bidi="ar-SA"/>
        </w:rPr>
        <w:t>4</w:t>
      </w:r>
      <w:r w:rsidRPr="00DA00C0">
        <w:rPr>
          <w:rFonts w:ascii="Calibri" w:hAnsi="Calibri" w:cs="Calibri"/>
          <w:sz w:val="24"/>
          <w:szCs w:val="24"/>
          <w:lang w:bidi="ar-SA"/>
        </w:rPr>
        <w:t>.202</w:t>
      </w:r>
      <w:r w:rsidRPr="00DA00C0">
        <w:rPr>
          <w:rFonts w:ascii="Calibri" w:hAnsi="Calibri" w:cs="Calibri"/>
          <w:sz w:val="24"/>
          <w:szCs w:val="24"/>
          <w:lang w:val="ru-RU" w:bidi="ar-SA"/>
        </w:rPr>
        <w:t xml:space="preserve">3 </w:t>
      </w:r>
      <w:r w:rsidRPr="00DA00C0">
        <w:rPr>
          <w:rFonts w:ascii="Calibri" w:hAnsi="Calibri" w:cs="Calibri"/>
          <w:sz w:val="24"/>
          <w:szCs w:val="24"/>
          <w:lang w:bidi="ar-SA"/>
        </w:rPr>
        <w:t xml:space="preserve">г. </w:t>
      </w:r>
      <w:r w:rsidRPr="00DA00C0">
        <w:rPr>
          <w:rFonts w:ascii="Calibri" w:hAnsi="Calibri" w:cs="Calibri"/>
          <w:sz w:val="24"/>
          <w:szCs w:val="24"/>
          <w:lang w:eastAsia="en-US" w:bidi="ar-SA"/>
        </w:rPr>
        <w:t xml:space="preserve"> “Компас Фонд за вземания” АДСИЦ емитира емисия корпоративни обезпечени облигации при условията на частно предлагане, при следните условия: </w:t>
      </w:r>
    </w:p>
    <w:p w14:paraId="13A51688" w14:textId="77777777" w:rsidR="008E4915" w:rsidRPr="00DA00C0" w:rsidRDefault="008E4915" w:rsidP="006B716F">
      <w:pPr>
        <w:widowControl/>
        <w:autoSpaceDE/>
        <w:autoSpaceDN/>
        <w:spacing w:line="276" w:lineRule="auto"/>
        <w:ind w:left="1276" w:right="122" w:firstLine="709"/>
        <w:jc w:val="both"/>
        <w:rPr>
          <w:rFonts w:ascii="Calibri" w:hAnsi="Calibri" w:cs="Calibri"/>
          <w:bCs/>
          <w:sz w:val="24"/>
          <w:szCs w:val="24"/>
          <w:lang w:bidi="ar-SA"/>
        </w:rPr>
      </w:pPr>
    </w:p>
    <w:p w14:paraId="3F5E15E1" w14:textId="796DDAFF" w:rsidR="008E4915" w:rsidRPr="00DA00C0" w:rsidRDefault="008E4915" w:rsidP="006B716F">
      <w:pPr>
        <w:widowControl/>
        <w:numPr>
          <w:ilvl w:val="0"/>
          <w:numId w:val="2"/>
        </w:numPr>
        <w:autoSpaceDE/>
        <w:autoSpaceDN/>
        <w:spacing w:line="276" w:lineRule="auto"/>
        <w:ind w:left="1276" w:right="122"/>
        <w:contextualSpacing/>
        <w:jc w:val="both"/>
        <w:rPr>
          <w:rFonts w:ascii="Calibri" w:hAnsi="Calibri" w:cs="Calibri"/>
          <w:bCs/>
          <w:sz w:val="24"/>
          <w:szCs w:val="24"/>
          <w:lang w:bidi="ar-SA"/>
        </w:rPr>
      </w:pPr>
      <w:r w:rsidRPr="00DA00C0">
        <w:rPr>
          <w:rFonts w:ascii="Calibri" w:hAnsi="Calibri" w:cs="Calibri"/>
          <w:bCs/>
          <w:sz w:val="24"/>
          <w:szCs w:val="24"/>
          <w:lang w:bidi="ar-SA"/>
        </w:rPr>
        <w:t xml:space="preserve">Номинален размер на сключения облигационен заем: </w:t>
      </w:r>
      <w:r w:rsidRPr="00DA00C0">
        <w:rPr>
          <w:rFonts w:ascii="Calibri" w:hAnsi="Calibri" w:cs="Calibri"/>
          <w:bCs/>
          <w:sz w:val="24"/>
          <w:szCs w:val="24"/>
          <w:lang w:val="ru-RU" w:bidi="ar-SA"/>
        </w:rPr>
        <w:t>10</w:t>
      </w:r>
      <w:r w:rsidRPr="00DA00C0">
        <w:rPr>
          <w:rFonts w:ascii="Calibri" w:hAnsi="Calibri" w:cs="Calibri"/>
          <w:bCs/>
          <w:sz w:val="24"/>
          <w:szCs w:val="24"/>
          <w:lang w:bidi="ar-SA"/>
        </w:rPr>
        <w:t xml:space="preserve"> 000 000 </w:t>
      </w:r>
      <w:r w:rsidR="003E42F2" w:rsidRPr="00DA00C0">
        <w:rPr>
          <w:rFonts w:ascii="Calibri" w:hAnsi="Calibri" w:cs="Calibri"/>
          <w:bCs/>
          <w:sz w:val="24"/>
          <w:szCs w:val="24"/>
          <w:lang w:bidi="ar-SA"/>
        </w:rPr>
        <w:t>лева</w:t>
      </w:r>
      <w:r w:rsidRPr="00DA00C0">
        <w:rPr>
          <w:rFonts w:ascii="Calibri" w:hAnsi="Calibri" w:cs="Calibri"/>
          <w:bCs/>
          <w:sz w:val="24"/>
          <w:szCs w:val="24"/>
          <w:lang w:bidi="ar-SA"/>
        </w:rPr>
        <w:t>;</w:t>
      </w:r>
    </w:p>
    <w:p w14:paraId="177A349A" w14:textId="25E7EBC9" w:rsidR="008E4915" w:rsidRPr="00DA00C0" w:rsidRDefault="008E4915" w:rsidP="006B716F">
      <w:pPr>
        <w:widowControl/>
        <w:numPr>
          <w:ilvl w:val="0"/>
          <w:numId w:val="2"/>
        </w:numPr>
        <w:autoSpaceDE/>
        <w:autoSpaceDN/>
        <w:spacing w:line="276" w:lineRule="auto"/>
        <w:ind w:left="1276" w:right="122"/>
        <w:contextualSpacing/>
        <w:jc w:val="both"/>
        <w:rPr>
          <w:rFonts w:ascii="Calibri" w:hAnsi="Calibri" w:cs="Calibri"/>
          <w:bCs/>
          <w:sz w:val="24"/>
          <w:szCs w:val="24"/>
          <w:lang w:bidi="ar-SA"/>
        </w:rPr>
      </w:pPr>
      <w:r w:rsidRPr="00DA00C0">
        <w:rPr>
          <w:rFonts w:ascii="Calibri" w:hAnsi="Calibri" w:cs="Calibri"/>
          <w:bCs/>
          <w:sz w:val="24"/>
          <w:szCs w:val="24"/>
          <w:lang w:bidi="ar-SA"/>
        </w:rPr>
        <w:t xml:space="preserve">Брой облигации: </w:t>
      </w:r>
      <w:r w:rsidR="003E42F2" w:rsidRPr="00DA00C0">
        <w:rPr>
          <w:rFonts w:ascii="Calibri" w:hAnsi="Calibri" w:cs="Calibri"/>
          <w:bCs/>
          <w:sz w:val="24"/>
          <w:szCs w:val="24"/>
          <w:lang w:bidi="ar-SA"/>
        </w:rPr>
        <w:t>10</w:t>
      </w:r>
      <w:r w:rsidRPr="00DA00C0">
        <w:rPr>
          <w:rFonts w:ascii="Calibri" w:hAnsi="Calibri" w:cs="Calibri"/>
          <w:bCs/>
          <w:sz w:val="24"/>
          <w:szCs w:val="24"/>
          <w:lang w:bidi="ar-SA"/>
        </w:rPr>
        <w:t xml:space="preserve"> 000 броя с номинална стойност 1 000 </w:t>
      </w:r>
      <w:r w:rsidR="003E42F2" w:rsidRPr="00DA00C0">
        <w:rPr>
          <w:rFonts w:ascii="Calibri" w:hAnsi="Calibri" w:cs="Calibri"/>
          <w:bCs/>
          <w:sz w:val="24"/>
          <w:szCs w:val="24"/>
          <w:lang w:bidi="ar-SA"/>
        </w:rPr>
        <w:t>лева</w:t>
      </w:r>
      <w:r w:rsidRPr="00DA00C0">
        <w:rPr>
          <w:rFonts w:ascii="Calibri" w:hAnsi="Calibri" w:cs="Calibri"/>
          <w:bCs/>
          <w:sz w:val="24"/>
          <w:szCs w:val="24"/>
          <w:lang w:bidi="ar-SA"/>
        </w:rPr>
        <w:t xml:space="preserve"> всяка;</w:t>
      </w:r>
    </w:p>
    <w:p w14:paraId="4640C5F2" w14:textId="0113C97F" w:rsidR="008E4915" w:rsidRPr="00DA00C0" w:rsidRDefault="008E4915" w:rsidP="006B716F">
      <w:pPr>
        <w:widowControl/>
        <w:numPr>
          <w:ilvl w:val="0"/>
          <w:numId w:val="2"/>
        </w:numPr>
        <w:autoSpaceDE/>
        <w:autoSpaceDN/>
        <w:spacing w:line="276" w:lineRule="auto"/>
        <w:ind w:left="1276" w:right="122"/>
        <w:contextualSpacing/>
        <w:jc w:val="both"/>
        <w:rPr>
          <w:rFonts w:ascii="Calibri" w:hAnsi="Calibri" w:cs="Calibri"/>
          <w:bCs/>
          <w:sz w:val="24"/>
          <w:szCs w:val="24"/>
          <w:lang w:bidi="ar-SA"/>
        </w:rPr>
      </w:pPr>
      <w:r w:rsidRPr="00DA00C0">
        <w:rPr>
          <w:rFonts w:ascii="Calibri" w:hAnsi="Calibri" w:cs="Calibri"/>
          <w:bCs/>
          <w:sz w:val="24"/>
          <w:szCs w:val="24"/>
          <w:lang w:bidi="ar-SA"/>
        </w:rPr>
        <w:t>Вид на облигациите: обикновени, поименни, безналични, лихвоносни, неконвентируеми, свободно прехвърляеми, обезпечени;</w:t>
      </w:r>
    </w:p>
    <w:p w14:paraId="3DF6B220" w14:textId="6F55BAF8" w:rsidR="008E4915" w:rsidRPr="00DA00C0" w:rsidRDefault="008E4915" w:rsidP="006B716F">
      <w:pPr>
        <w:widowControl/>
        <w:numPr>
          <w:ilvl w:val="0"/>
          <w:numId w:val="2"/>
        </w:numPr>
        <w:autoSpaceDE/>
        <w:autoSpaceDN/>
        <w:spacing w:line="276" w:lineRule="auto"/>
        <w:ind w:left="1276" w:right="122"/>
        <w:contextualSpacing/>
        <w:jc w:val="both"/>
        <w:rPr>
          <w:rFonts w:ascii="Calibri" w:hAnsi="Calibri" w:cs="Calibri"/>
          <w:bCs/>
          <w:sz w:val="24"/>
          <w:szCs w:val="24"/>
          <w:lang w:bidi="ar-SA"/>
        </w:rPr>
      </w:pPr>
      <w:r w:rsidRPr="00DA00C0">
        <w:rPr>
          <w:rFonts w:ascii="Calibri" w:hAnsi="Calibri" w:cs="Calibri"/>
          <w:bCs/>
          <w:sz w:val="24"/>
          <w:szCs w:val="24"/>
          <w:lang w:bidi="ar-SA"/>
        </w:rPr>
        <w:lastRenderedPageBreak/>
        <w:t xml:space="preserve">Лихвен процент: </w:t>
      </w:r>
      <w:r w:rsidR="003E42F2" w:rsidRPr="00DA00C0">
        <w:rPr>
          <w:rFonts w:ascii="Calibri" w:hAnsi="Calibri" w:cs="Calibri"/>
          <w:sz w:val="24"/>
          <w:szCs w:val="24"/>
          <w:lang w:eastAsia="ar-SA" w:bidi="ar-SA"/>
        </w:rPr>
        <w:t>Променлив лихвен процент, формиран от стойността на индекса ЛЕОНИА + 6.00 % (шест процента) на годишна база, но не по-малко от 6.00%, ако индекса ЛЕОНИА е отрицателна величина</w:t>
      </w:r>
      <w:r w:rsidRPr="00DA00C0">
        <w:rPr>
          <w:rFonts w:ascii="Calibri" w:hAnsi="Calibri" w:cs="Calibri"/>
          <w:bCs/>
          <w:sz w:val="24"/>
          <w:szCs w:val="24"/>
          <w:lang w:bidi="ar-SA"/>
        </w:rPr>
        <w:t>;</w:t>
      </w:r>
    </w:p>
    <w:p w14:paraId="3C1C4DF7" w14:textId="6C253454" w:rsidR="008E4915" w:rsidRPr="00DA00C0" w:rsidRDefault="008E4915" w:rsidP="006B716F">
      <w:pPr>
        <w:widowControl/>
        <w:numPr>
          <w:ilvl w:val="0"/>
          <w:numId w:val="2"/>
        </w:numPr>
        <w:autoSpaceDE/>
        <w:autoSpaceDN/>
        <w:spacing w:line="276" w:lineRule="auto"/>
        <w:ind w:left="1276" w:right="122"/>
        <w:contextualSpacing/>
        <w:jc w:val="both"/>
        <w:rPr>
          <w:rFonts w:ascii="Calibri" w:hAnsi="Calibri" w:cs="Calibri"/>
          <w:bCs/>
          <w:sz w:val="24"/>
          <w:szCs w:val="24"/>
          <w:lang w:bidi="ar-SA"/>
        </w:rPr>
      </w:pPr>
      <w:r w:rsidRPr="00DA00C0">
        <w:rPr>
          <w:rFonts w:ascii="Calibri" w:hAnsi="Calibri" w:cs="Calibri"/>
          <w:bCs/>
          <w:sz w:val="24"/>
          <w:szCs w:val="24"/>
          <w:lang w:bidi="ar-SA"/>
        </w:rPr>
        <w:t xml:space="preserve">Срок до падежа на облигациите: </w:t>
      </w:r>
      <w:r w:rsidR="003E42F2" w:rsidRPr="00DA00C0">
        <w:rPr>
          <w:rFonts w:ascii="Calibri" w:hAnsi="Calibri" w:cs="Calibri"/>
          <w:bCs/>
          <w:sz w:val="24"/>
          <w:szCs w:val="24"/>
          <w:lang w:bidi="ar-SA"/>
        </w:rPr>
        <w:t>84</w:t>
      </w:r>
      <w:r w:rsidRPr="00DA00C0">
        <w:rPr>
          <w:rFonts w:ascii="Calibri" w:hAnsi="Calibri" w:cs="Calibri"/>
          <w:bCs/>
          <w:sz w:val="24"/>
          <w:szCs w:val="24"/>
          <w:lang w:bidi="ar-SA"/>
        </w:rPr>
        <w:t xml:space="preserve"> месеца;</w:t>
      </w:r>
    </w:p>
    <w:p w14:paraId="24E7DC7E" w14:textId="49185FA3" w:rsidR="008E4915" w:rsidRPr="00DA00C0" w:rsidRDefault="008E4915" w:rsidP="006B716F">
      <w:pPr>
        <w:widowControl/>
        <w:numPr>
          <w:ilvl w:val="0"/>
          <w:numId w:val="2"/>
        </w:numPr>
        <w:autoSpaceDE/>
        <w:autoSpaceDN/>
        <w:spacing w:line="276" w:lineRule="auto"/>
        <w:ind w:left="1276" w:right="122"/>
        <w:contextualSpacing/>
        <w:jc w:val="both"/>
        <w:rPr>
          <w:rFonts w:ascii="Calibri" w:hAnsi="Calibri" w:cs="Calibri"/>
          <w:bCs/>
          <w:sz w:val="24"/>
          <w:szCs w:val="24"/>
          <w:lang w:bidi="ar-SA"/>
        </w:rPr>
      </w:pPr>
      <w:r w:rsidRPr="00DA00C0">
        <w:rPr>
          <w:rFonts w:ascii="Calibri" w:hAnsi="Calibri" w:cs="Calibri"/>
          <w:bCs/>
          <w:sz w:val="24"/>
          <w:szCs w:val="24"/>
          <w:lang w:bidi="ar-SA"/>
        </w:rPr>
        <w:t>Дата, от която тече срокът до падежите на главницата: 1</w:t>
      </w:r>
      <w:r w:rsidR="003E42F2" w:rsidRPr="00DA00C0">
        <w:rPr>
          <w:rFonts w:ascii="Calibri" w:hAnsi="Calibri" w:cs="Calibri"/>
          <w:bCs/>
          <w:sz w:val="24"/>
          <w:szCs w:val="24"/>
          <w:lang w:bidi="ar-SA"/>
        </w:rPr>
        <w:t>1</w:t>
      </w:r>
      <w:r w:rsidRPr="00DA00C0">
        <w:rPr>
          <w:rFonts w:ascii="Calibri" w:hAnsi="Calibri" w:cs="Calibri"/>
          <w:bCs/>
          <w:sz w:val="24"/>
          <w:szCs w:val="24"/>
          <w:lang w:bidi="ar-SA"/>
        </w:rPr>
        <w:t>.0</w:t>
      </w:r>
      <w:r w:rsidR="003E42F2" w:rsidRPr="00DA00C0">
        <w:rPr>
          <w:rFonts w:ascii="Calibri" w:hAnsi="Calibri" w:cs="Calibri"/>
          <w:bCs/>
          <w:sz w:val="24"/>
          <w:szCs w:val="24"/>
          <w:lang w:bidi="ar-SA"/>
        </w:rPr>
        <w:t>4</w:t>
      </w:r>
      <w:r w:rsidRPr="00DA00C0">
        <w:rPr>
          <w:rFonts w:ascii="Calibri" w:hAnsi="Calibri" w:cs="Calibri"/>
          <w:bCs/>
          <w:sz w:val="24"/>
          <w:szCs w:val="24"/>
          <w:lang w:bidi="ar-SA"/>
        </w:rPr>
        <w:t>.202</w:t>
      </w:r>
      <w:r w:rsidR="003E42F2" w:rsidRPr="00DA00C0">
        <w:rPr>
          <w:rFonts w:ascii="Calibri" w:hAnsi="Calibri" w:cs="Calibri"/>
          <w:bCs/>
          <w:sz w:val="24"/>
          <w:szCs w:val="24"/>
          <w:lang w:bidi="ar-SA"/>
        </w:rPr>
        <w:t>3</w:t>
      </w:r>
      <w:r w:rsidRPr="00DA00C0">
        <w:rPr>
          <w:rFonts w:ascii="Calibri" w:hAnsi="Calibri" w:cs="Calibri"/>
          <w:bCs/>
          <w:sz w:val="24"/>
          <w:szCs w:val="24"/>
          <w:lang w:bidi="ar-SA"/>
        </w:rPr>
        <w:t xml:space="preserve"> г.;</w:t>
      </w:r>
    </w:p>
    <w:p w14:paraId="6E02867E" w14:textId="4E1214E9" w:rsidR="008E4915" w:rsidRPr="00DA00C0" w:rsidRDefault="008E4915" w:rsidP="006B716F">
      <w:pPr>
        <w:widowControl/>
        <w:numPr>
          <w:ilvl w:val="0"/>
          <w:numId w:val="2"/>
        </w:numPr>
        <w:autoSpaceDE/>
        <w:autoSpaceDN/>
        <w:spacing w:line="276" w:lineRule="auto"/>
        <w:ind w:left="1276" w:right="122"/>
        <w:contextualSpacing/>
        <w:jc w:val="both"/>
        <w:rPr>
          <w:rFonts w:ascii="Calibri" w:hAnsi="Calibri" w:cs="Calibri"/>
          <w:bCs/>
          <w:sz w:val="24"/>
          <w:szCs w:val="24"/>
          <w:lang w:bidi="ar-SA"/>
        </w:rPr>
      </w:pPr>
      <w:r w:rsidRPr="00DA00C0">
        <w:rPr>
          <w:rFonts w:ascii="Calibri" w:hAnsi="Calibri" w:cs="Calibri"/>
          <w:bCs/>
          <w:sz w:val="24"/>
          <w:szCs w:val="24"/>
          <w:lang w:bidi="ar-SA"/>
        </w:rPr>
        <w:t xml:space="preserve">Дати на падежите на главницата: плащанията по главницата се извършват на </w:t>
      </w:r>
      <w:r w:rsidR="003E42F2" w:rsidRPr="00DA00C0">
        <w:rPr>
          <w:rFonts w:ascii="Calibri" w:hAnsi="Calibri" w:cs="Calibri"/>
          <w:bCs/>
          <w:sz w:val="24"/>
          <w:szCs w:val="24"/>
          <w:lang w:bidi="ar-SA"/>
        </w:rPr>
        <w:t>10</w:t>
      </w:r>
      <w:r w:rsidRPr="00DA00C0">
        <w:rPr>
          <w:rFonts w:ascii="Calibri" w:hAnsi="Calibri" w:cs="Calibri"/>
          <w:bCs/>
          <w:sz w:val="24"/>
          <w:szCs w:val="24"/>
          <w:lang w:bidi="ar-SA"/>
        </w:rPr>
        <w:t xml:space="preserve"> равни вноски в размер на 1 000 000 </w:t>
      </w:r>
      <w:r w:rsidR="003E42F2" w:rsidRPr="00DA00C0">
        <w:rPr>
          <w:rFonts w:ascii="Calibri" w:hAnsi="Calibri" w:cs="Calibri"/>
          <w:bCs/>
          <w:sz w:val="24"/>
          <w:szCs w:val="24"/>
          <w:lang w:bidi="ar-SA"/>
        </w:rPr>
        <w:t>лева</w:t>
      </w:r>
      <w:r w:rsidRPr="00DA00C0">
        <w:rPr>
          <w:rFonts w:ascii="Calibri" w:hAnsi="Calibri" w:cs="Calibri"/>
          <w:bCs/>
          <w:sz w:val="24"/>
          <w:szCs w:val="24"/>
          <w:lang w:bidi="ar-SA"/>
        </w:rPr>
        <w:t xml:space="preserve">, както следва: </w:t>
      </w:r>
      <w:r w:rsidR="003E42F2" w:rsidRPr="00DA00C0">
        <w:rPr>
          <w:rFonts w:ascii="Calibri" w:hAnsi="Calibri" w:cs="Calibri"/>
          <w:sz w:val="24"/>
          <w:szCs w:val="24"/>
          <w:lang w:eastAsia="ar-SA" w:bidi="ar-SA"/>
        </w:rPr>
        <w:t>11.10.2025г., 11.04.2026 г., 11.10.2026 г., 11.04.2027 г., 11.10.2027 г., 11.04.2028 г., 11.10.2028 г., 11.04.2029 г., 11.10.2029 г., 11.04.2030 г.</w:t>
      </w:r>
      <w:r w:rsidRPr="00DA00C0">
        <w:rPr>
          <w:rFonts w:ascii="Calibri" w:hAnsi="Calibri" w:cs="Calibri"/>
          <w:bCs/>
          <w:sz w:val="24"/>
          <w:szCs w:val="24"/>
          <w:lang w:bidi="ar-SA"/>
        </w:rPr>
        <w:t>;</w:t>
      </w:r>
    </w:p>
    <w:p w14:paraId="71EE7CDE" w14:textId="79CD2CB9" w:rsidR="008E4915" w:rsidRPr="00DA00C0" w:rsidRDefault="008E4915" w:rsidP="006B716F">
      <w:pPr>
        <w:pStyle w:val="ListParagraph"/>
        <w:numPr>
          <w:ilvl w:val="0"/>
          <w:numId w:val="2"/>
        </w:numPr>
        <w:spacing w:after="120" w:line="278" w:lineRule="exact"/>
        <w:ind w:left="1276" w:right="122"/>
        <w:jc w:val="both"/>
        <w:rPr>
          <w:rFonts w:ascii="Calibri" w:hAnsi="Calibri" w:cs="Calibri"/>
          <w:sz w:val="24"/>
          <w:szCs w:val="24"/>
          <w:lang w:eastAsia="ar-SA" w:bidi="ar-SA"/>
        </w:rPr>
      </w:pPr>
      <w:r w:rsidRPr="00DA00C0">
        <w:rPr>
          <w:rFonts w:ascii="Calibri" w:hAnsi="Calibri" w:cs="Calibri"/>
          <w:bCs/>
          <w:sz w:val="24"/>
          <w:szCs w:val="24"/>
          <w:lang w:bidi="ar-SA"/>
        </w:rPr>
        <w:t xml:space="preserve">Дати на падежите на лихвените плащания: 6-месечни, както следва: </w:t>
      </w:r>
      <w:r w:rsidR="003E42F2" w:rsidRPr="00DA00C0">
        <w:rPr>
          <w:rFonts w:ascii="Calibri" w:hAnsi="Calibri" w:cs="Calibri"/>
          <w:sz w:val="24"/>
          <w:szCs w:val="24"/>
          <w:lang w:eastAsia="ar-SA" w:bidi="ar-SA"/>
        </w:rPr>
        <w:t xml:space="preserve">11.10.2023 г.,  11.04.2024 г., 11.10.2024 г., 11.04.2025 г. 11.10.2025 г., 11.04.2026 г., 11.10.2026 г., 11.04.2027 г., 11.10.2027 г., 11.04.2028 г., 11.10.2028 г., 11.04.2029 г., 11.10.2029 г., 11.04.2030 г. </w:t>
      </w:r>
      <w:r w:rsidRPr="00DA00C0">
        <w:rPr>
          <w:rFonts w:ascii="Calibri" w:hAnsi="Calibri" w:cs="Calibri"/>
          <w:bCs/>
          <w:sz w:val="24"/>
          <w:szCs w:val="24"/>
          <w:lang w:bidi="ar-SA"/>
        </w:rPr>
        <w:t>(в случай че някоя от датите е почивен или неработен ден, лихвените плащания ще се извършат на първия следващ работен ден);</w:t>
      </w:r>
    </w:p>
    <w:p w14:paraId="65393C78" w14:textId="77777777" w:rsidR="008E4915" w:rsidRPr="00DA00C0" w:rsidRDefault="008E4915" w:rsidP="006B716F">
      <w:pPr>
        <w:widowControl/>
        <w:numPr>
          <w:ilvl w:val="0"/>
          <w:numId w:val="2"/>
        </w:numPr>
        <w:autoSpaceDE/>
        <w:autoSpaceDN/>
        <w:spacing w:line="276" w:lineRule="auto"/>
        <w:ind w:left="1276" w:right="122"/>
        <w:contextualSpacing/>
        <w:jc w:val="both"/>
        <w:rPr>
          <w:rFonts w:ascii="Calibri" w:hAnsi="Calibri" w:cs="Calibri"/>
          <w:bCs/>
          <w:sz w:val="24"/>
          <w:szCs w:val="24"/>
          <w:lang w:bidi="ar-SA"/>
        </w:rPr>
      </w:pPr>
      <w:r w:rsidRPr="00DA00C0">
        <w:rPr>
          <w:rFonts w:ascii="Calibri" w:hAnsi="Calibri" w:cs="Calibri"/>
          <w:bCs/>
          <w:sz w:val="24"/>
          <w:szCs w:val="24"/>
          <w:lang w:bidi="ar-SA"/>
        </w:rPr>
        <w:t>Допускане до търговия на регулиран пазар: Дружеството се задължава да предприеме необходимите мерки за регистрация на емисията за търговия на „Българска Фондова Борса“ АД в срок не по-късно от 6 месеца от сключването на облигационния заем;</w:t>
      </w:r>
    </w:p>
    <w:p w14:paraId="467C1154" w14:textId="77777777" w:rsidR="003E42F2" w:rsidRPr="00DA00C0" w:rsidRDefault="008E4915" w:rsidP="006B716F">
      <w:pPr>
        <w:pStyle w:val="ListParagraph"/>
        <w:numPr>
          <w:ilvl w:val="0"/>
          <w:numId w:val="2"/>
        </w:numPr>
        <w:adjustRightInd w:val="0"/>
        <w:spacing w:before="60" w:after="20" w:line="260" w:lineRule="exact"/>
        <w:ind w:left="1276" w:right="122"/>
        <w:jc w:val="both"/>
        <w:rPr>
          <w:rFonts w:ascii="Calibri" w:hAnsi="Calibri" w:cs="Calibri"/>
          <w:sz w:val="24"/>
          <w:szCs w:val="24"/>
          <w:lang w:eastAsia="ar-SA" w:bidi="ar-SA"/>
        </w:rPr>
      </w:pPr>
      <w:r w:rsidRPr="00DA00C0">
        <w:rPr>
          <w:rFonts w:ascii="Calibri" w:hAnsi="Calibri" w:cs="Calibri"/>
          <w:bCs/>
          <w:sz w:val="24"/>
          <w:szCs w:val="24"/>
          <w:lang w:bidi="ar-SA"/>
        </w:rPr>
        <w:t xml:space="preserve">Обезпечение: </w:t>
      </w:r>
    </w:p>
    <w:p w14:paraId="766A804E" w14:textId="68DECD6F" w:rsidR="003E42F2" w:rsidRPr="00DA00C0" w:rsidRDefault="003E42F2" w:rsidP="006B716F">
      <w:pPr>
        <w:pStyle w:val="ListParagraph"/>
        <w:adjustRightInd w:val="0"/>
        <w:spacing w:before="60" w:after="20" w:line="260" w:lineRule="exact"/>
        <w:ind w:left="1276" w:right="122"/>
        <w:jc w:val="both"/>
        <w:rPr>
          <w:rFonts w:ascii="Calibri" w:hAnsi="Calibri" w:cs="Calibri"/>
          <w:sz w:val="24"/>
          <w:szCs w:val="24"/>
          <w:lang w:eastAsia="ar-SA" w:bidi="ar-SA"/>
        </w:rPr>
      </w:pPr>
      <w:r w:rsidRPr="00DA00C0">
        <w:rPr>
          <w:rFonts w:ascii="Calibri" w:hAnsi="Calibri" w:cs="Calibri"/>
          <w:sz w:val="24"/>
          <w:szCs w:val="24"/>
          <w:lang w:eastAsia="ar-SA" w:bidi="ar-SA"/>
        </w:rPr>
        <w:t>А) Първи по ред особен залог върху вземания, който следва да бъде учреден в срок от 30 дни, считано от сключването на облигационния заем. Размерът на главницата по заложените вземания следва във всеки един момент да бъде не по-малък от 130% от номиналната стойност на емисията и дължимите лихви;</w:t>
      </w:r>
    </w:p>
    <w:p w14:paraId="5FD1B01E" w14:textId="1BC88D0B" w:rsidR="008E4915" w:rsidRPr="00DA00C0" w:rsidRDefault="003E42F2" w:rsidP="006B716F">
      <w:pPr>
        <w:widowControl/>
        <w:autoSpaceDE/>
        <w:autoSpaceDN/>
        <w:spacing w:line="276" w:lineRule="auto"/>
        <w:ind w:left="1276" w:right="122"/>
        <w:contextualSpacing/>
        <w:jc w:val="both"/>
        <w:rPr>
          <w:rFonts w:ascii="Calibri" w:hAnsi="Calibri" w:cs="Calibri"/>
          <w:bCs/>
          <w:sz w:val="24"/>
          <w:szCs w:val="24"/>
          <w:lang w:bidi="ar-SA"/>
        </w:rPr>
      </w:pPr>
      <w:r w:rsidRPr="00DA00C0">
        <w:rPr>
          <w:rFonts w:ascii="Calibri" w:hAnsi="Calibri" w:cs="Calibri"/>
          <w:sz w:val="24"/>
          <w:szCs w:val="24"/>
          <w:lang w:eastAsia="ar-SA" w:bidi="ar-SA"/>
        </w:rPr>
        <w:t>Б) Първи по ред особен залог върху разплащателна сметка в Тексим банк АД, който следва да бъде учреден в срок от 5 работни дни от сключването на облигационната емисия.</w:t>
      </w:r>
      <w:r w:rsidR="008E4915" w:rsidRPr="00DA00C0">
        <w:rPr>
          <w:rFonts w:ascii="Calibri" w:hAnsi="Calibri" w:cs="Calibri"/>
          <w:bCs/>
          <w:sz w:val="24"/>
          <w:szCs w:val="24"/>
          <w:lang w:bidi="ar-SA"/>
        </w:rPr>
        <w:t>;</w:t>
      </w:r>
    </w:p>
    <w:p w14:paraId="0A5E57A7" w14:textId="03C0D541" w:rsidR="008E4915" w:rsidRPr="00DA00C0" w:rsidRDefault="008E4915" w:rsidP="006B716F">
      <w:pPr>
        <w:pStyle w:val="ListParagraph"/>
        <w:widowControl/>
        <w:numPr>
          <w:ilvl w:val="0"/>
          <w:numId w:val="2"/>
        </w:numPr>
        <w:autoSpaceDE/>
        <w:autoSpaceDN/>
        <w:ind w:left="1276" w:right="122"/>
        <w:contextualSpacing/>
        <w:jc w:val="both"/>
        <w:rPr>
          <w:rFonts w:ascii="Calibri" w:eastAsia="Calibri" w:hAnsi="Calibri" w:cs="Calibri"/>
          <w:sz w:val="24"/>
          <w:szCs w:val="24"/>
          <w:lang w:eastAsia="en-US" w:bidi="ar-SA"/>
        </w:rPr>
      </w:pPr>
      <w:r w:rsidRPr="00DA00C0">
        <w:rPr>
          <w:rFonts w:ascii="Calibri" w:eastAsia="Calibri" w:hAnsi="Calibri" w:cs="Calibri"/>
          <w:sz w:val="24"/>
          <w:szCs w:val="24"/>
          <w:lang w:eastAsia="en-US" w:bidi="ar-SA"/>
        </w:rPr>
        <w:t xml:space="preserve">Институция, обслужваща плащанията по облигационния заем – „Централен депозитар“ АД. </w:t>
      </w:r>
    </w:p>
    <w:p w14:paraId="60555298" w14:textId="77777777" w:rsidR="008E4915" w:rsidRPr="00DA00C0" w:rsidRDefault="008E4915" w:rsidP="006B716F">
      <w:pPr>
        <w:widowControl/>
        <w:autoSpaceDE/>
        <w:autoSpaceDN/>
        <w:spacing w:line="276" w:lineRule="auto"/>
        <w:ind w:left="1276" w:right="122"/>
        <w:contextualSpacing/>
        <w:jc w:val="both"/>
        <w:rPr>
          <w:rFonts w:ascii="Calibri" w:eastAsia="Calibri" w:hAnsi="Calibri" w:cs="Calibri"/>
          <w:sz w:val="24"/>
          <w:szCs w:val="24"/>
          <w:lang w:eastAsia="en-US" w:bidi="ar-SA"/>
        </w:rPr>
      </w:pPr>
    </w:p>
    <w:p w14:paraId="444E8283" w14:textId="2CDE6C90" w:rsidR="008E4915" w:rsidRPr="008E4915" w:rsidRDefault="006B716F" w:rsidP="006B716F">
      <w:pPr>
        <w:widowControl/>
        <w:autoSpaceDE/>
        <w:autoSpaceDN/>
        <w:spacing w:line="276" w:lineRule="auto"/>
        <w:ind w:left="1276" w:right="122"/>
        <w:contextualSpacing/>
        <w:jc w:val="both"/>
        <w:rPr>
          <w:rFonts w:ascii="Calibri" w:eastAsia="Calibri" w:hAnsi="Calibri" w:cs="Calibri"/>
          <w:sz w:val="24"/>
          <w:szCs w:val="24"/>
          <w:lang w:eastAsia="en-US" w:bidi="ar-SA"/>
        </w:rPr>
      </w:pPr>
      <w:r w:rsidRPr="00DA00C0">
        <w:rPr>
          <w:rFonts w:ascii="Calibri" w:hAnsi="Calibri" w:cs="Calibri"/>
          <w:bCs/>
          <w:sz w:val="24"/>
          <w:szCs w:val="24"/>
          <w:lang w:bidi="ar-SA"/>
        </w:rPr>
        <w:t>З</w:t>
      </w:r>
      <w:r w:rsidR="008E4915" w:rsidRPr="00DA00C0">
        <w:rPr>
          <w:rFonts w:ascii="Calibri" w:hAnsi="Calibri" w:cs="Calibri"/>
          <w:bCs/>
          <w:sz w:val="24"/>
          <w:szCs w:val="24"/>
          <w:lang w:bidi="ar-SA"/>
        </w:rPr>
        <w:t>а довереник на облигационерите бе избран</w:t>
      </w:r>
      <w:r w:rsidRPr="00DA00C0">
        <w:rPr>
          <w:rFonts w:ascii="Calibri" w:hAnsi="Calibri" w:cs="Calibri"/>
          <w:bCs/>
          <w:sz w:val="24"/>
          <w:szCs w:val="24"/>
          <w:lang w:bidi="ar-SA"/>
        </w:rPr>
        <w:t>а</w:t>
      </w:r>
      <w:r w:rsidR="008E4915" w:rsidRPr="00DA00C0">
        <w:rPr>
          <w:rFonts w:ascii="Calibri" w:hAnsi="Calibri" w:cs="Calibri"/>
          <w:bCs/>
          <w:sz w:val="24"/>
          <w:szCs w:val="24"/>
          <w:lang w:bidi="ar-SA"/>
        </w:rPr>
        <w:t xml:space="preserve"> „</w:t>
      </w:r>
      <w:r w:rsidRPr="00DA00C0">
        <w:rPr>
          <w:rFonts w:ascii="Calibri" w:hAnsi="Calibri" w:cs="Calibri"/>
          <w:bCs/>
          <w:sz w:val="24"/>
          <w:szCs w:val="24"/>
          <w:lang w:bidi="ar-SA"/>
        </w:rPr>
        <w:t>Тексим Банк</w:t>
      </w:r>
      <w:r w:rsidR="008E4915" w:rsidRPr="00DA00C0">
        <w:rPr>
          <w:rFonts w:ascii="Calibri" w:hAnsi="Calibri" w:cs="Calibri"/>
          <w:bCs/>
          <w:sz w:val="24"/>
          <w:szCs w:val="24"/>
          <w:lang w:bidi="ar-SA"/>
        </w:rPr>
        <w:t>“ АД.</w:t>
      </w:r>
    </w:p>
    <w:p w14:paraId="26949401" w14:textId="12F1A7A5" w:rsidR="00E57C3C" w:rsidRPr="003E42F2" w:rsidRDefault="00E57C3C" w:rsidP="003E42F2">
      <w:pPr>
        <w:pStyle w:val="BodyText"/>
        <w:spacing w:before="90"/>
        <w:ind w:left="1276" w:right="122" w:hanging="200"/>
        <w:jc w:val="both"/>
        <w:rPr>
          <w:rFonts w:ascii="Calibri" w:hAnsi="Calibri" w:cs="Calibri"/>
          <w:sz w:val="20"/>
          <w:szCs w:val="20"/>
        </w:rPr>
      </w:pPr>
    </w:p>
    <w:p w14:paraId="2CFEB811" w14:textId="77777777" w:rsidR="00E57C3C" w:rsidRPr="003E42F2" w:rsidRDefault="00E57C3C" w:rsidP="003E42F2">
      <w:pPr>
        <w:pStyle w:val="BodyText"/>
        <w:spacing w:before="90"/>
        <w:ind w:left="1021" w:right="122" w:hanging="200"/>
        <w:rPr>
          <w:rFonts w:ascii="Calibri" w:hAnsi="Calibri" w:cs="Calibri"/>
          <w:sz w:val="20"/>
          <w:szCs w:val="20"/>
        </w:rPr>
      </w:pPr>
    </w:p>
    <w:p w14:paraId="42E82583" w14:textId="77777777" w:rsidR="00E57C3C" w:rsidRPr="003E42F2" w:rsidRDefault="00E57C3C" w:rsidP="003E42F2">
      <w:pPr>
        <w:pStyle w:val="BodyText"/>
        <w:spacing w:before="90"/>
        <w:ind w:left="1021" w:right="122" w:hanging="200"/>
        <w:rPr>
          <w:rFonts w:ascii="Calibri" w:hAnsi="Calibri" w:cs="Calibri"/>
          <w:sz w:val="20"/>
          <w:szCs w:val="20"/>
        </w:rPr>
      </w:pPr>
    </w:p>
    <w:p w14:paraId="5EF3FB6A" w14:textId="77ACD670" w:rsidR="00E57C3C" w:rsidRPr="006B716F" w:rsidRDefault="00DA00C0" w:rsidP="003E42F2">
      <w:pPr>
        <w:pStyle w:val="BodyText"/>
        <w:spacing w:before="90"/>
        <w:ind w:left="1021" w:right="122" w:hanging="200"/>
        <w:rPr>
          <w:rFonts w:asciiTheme="minorHAnsi" w:hAnsiTheme="minorHAnsi" w:cstheme="minorHAnsi"/>
        </w:rPr>
      </w:pPr>
      <w:r w:rsidRPr="00DA00C0">
        <w:rPr>
          <w:rFonts w:asciiTheme="minorHAnsi" w:hAnsiTheme="minorHAnsi" w:cstheme="minorHAnsi"/>
          <w:lang w:val="ru-RU"/>
        </w:rPr>
        <w:t>1</w:t>
      </w:r>
      <w:r>
        <w:rPr>
          <w:rFonts w:asciiTheme="minorHAnsi" w:hAnsiTheme="minorHAnsi" w:cstheme="minorHAnsi"/>
          <w:lang w:val="en-US"/>
        </w:rPr>
        <w:t>9</w:t>
      </w:r>
      <w:r w:rsidR="00E57C3C" w:rsidRPr="006B716F">
        <w:rPr>
          <w:rFonts w:asciiTheme="minorHAnsi" w:hAnsiTheme="minorHAnsi" w:cstheme="minorHAnsi"/>
        </w:rPr>
        <w:t>.0</w:t>
      </w:r>
      <w:r w:rsidR="00325774" w:rsidRPr="006B716F">
        <w:rPr>
          <w:rFonts w:asciiTheme="minorHAnsi" w:hAnsiTheme="minorHAnsi" w:cstheme="minorHAnsi"/>
        </w:rPr>
        <w:t>7</w:t>
      </w:r>
      <w:r w:rsidR="00E57C3C" w:rsidRPr="006B716F">
        <w:rPr>
          <w:rFonts w:asciiTheme="minorHAnsi" w:hAnsiTheme="minorHAnsi" w:cstheme="minorHAnsi"/>
        </w:rPr>
        <w:t>.202</w:t>
      </w:r>
      <w:r w:rsidR="003460DC" w:rsidRPr="006B716F">
        <w:rPr>
          <w:rFonts w:asciiTheme="minorHAnsi" w:hAnsiTheme="minorHAnsi" w:cstheme="minorHAnsi"/>
        </w:rPr>
        <w:t>3</w:t>
      </w:r>
      <w:r w:rsidR="00E57C3C" w:rsidRPr="006B716F">
        <w:rPr>
          <w:rFonts w:asciiTheme="minorHAnsi" w:hAnsiTheme="minorHAnsi" w:cstheme="minorHAnsi"/>
        </w:rPr>
        <w:t xml:space="preserve"> г.         </w:t>
      </w:r>
      <w:r w:rsidR="00E57C3C" w:rsidRPr="006B716F">
        <w:rPr>
          <w:rFonts w:asciiTheme="minorHAnsi" w:hAnsiTheme="minorHAnsi" w:cstheme="minorHAnsi"/>
        </w:rPr>
        <w:tab/>
      </w:r>
      <w:r w:rsidR="00E57C3C" w:rsidRPr="006B716F">
        <w:rPr>
          <w:rFonts w:asciiTheme="minorHAnsi" w:hAnsiTheme="minorHAnsi" w:cstheme="minorHAnsi"/>
        </w:rPr>
        <w:tab/>
      </w:r>
      <w:r w:rsidR="00E57C3C" w:rsidRPr="006B716F">
        <w:rPr>
          <w:rFonts w:asciiTheme="minorHAnsi" w:hAnsiTheme="minorHAnsi" w:cstheme="minorHAnsi"/>
        </w:rPr>
        <w:tab/>
      </w:r>
      <w:r w:rsidR="00E57C3C" w:rsidRPr="006B716F">
        <w:rPr>
          <w:rFonts w:asciiTheme="minorHAnsi" w:hAnsiTheme="minorHAnsi" w:cstheme="minorHAnsi"/>
        </w:rPr>
        <w:tab/>
        <w:t xml:space="preserve"> Изпълнителен директор: _____________________</w:t>
      </w:r>
    </w:p>
    <w:p w14:paraId="0275AEF7" w14:textId="0B1F96CB" w:rsidR="00981269" w:rsidRPr="006B716F" w:rsidRDefault="00E57C3C" w:rsidP="003E42F2">
      <w:pPr>
        <w:pStyle w:val="BodyText"/>
        <w:spacing w:before="90"/>
        <w:ind w:left="1021" w:right="122" w:hanging="200"/>
        <w:rPr>
          <w:rFonts w:asciiTheme="minorHAnsi" w:hAnsiTheme="minorHAnsi" w:cstheme="minorHAnsi"/>
        </w:rPr>
      </w:pPr>
      <w:r w:rsidRPr="006B716F">
        <w:rPr>
          <w:rFonts w:asciiTheme="minorHAnsi" w:hAnsiTheme="minorHAnsi" w:cstheme="minorHAnsi"/>
        </w:rPr>
        <w:t>гр. София</w:t>
      </w:r>
      <w:r w:rsidRPr="006B716F">
        <w:rPr>
          <w:rFonts w:asciiTheme="minorHAnsi" w:hAnsiTheme="minorHAnsi" w:cstheme="minorHAnsi"/>
        </w:rPr>
        <w:tab/>
      </w:r>
      <w:r w:rsidRPr="006B716F">
        <w:rPr>
          <w:rFonts w:asciiTheme="minorHAnsi" w:hAnsiTheme="minorHAnsi" w:cstheme="minorHAnsi"/>
        </w:rPr>
        <w:tab/>
      </w:r>
      <w:r w:rsidRPr="006B716F">
        <w:rPr>
          <w:rFonts w:asciiTheme="minorHAnsi" w:hAnsiTheme="minorHAnsi" w:cstheme="minorHAnsi"/>
        </w:rPr>
        <w:tab/>
      </w:r>
      <w:r w:rsidRPr="006B716F">
        <w:rPr>
          <w:rFonts w:asciiTheme="minorHAnsi" w:hAnsiTheme="minorHAnsi" w:cstheme="minorHAnsi"/>
        </w:rPr>
        <w:tab/>
      </w:r>
      <w:r w:rsidRPr="006B716F">
        <w:rPr>
          <w:rFonts w:asciiTheme="minorHAnsi" w:hAnsiTheme="minorHAnsi" w:cstheme="minorHAnsi"/>
        </w:rPr>
        <w:tab/>
      </w:r>
      <w:r w:rsidRPr="006B716F">
        <w:rPr>
          <w:rFonts w:asciiTheme="minorHAnsi" w:hAnsiTheme="minorHAnsi" w:cstheme="minorHAnsi"/>
        </w:rPr>
        <w:tab/>
      </w:r>
      <w:r w:rsidRPr="006B716F">
        <w:rPr>
          <w:rFonts w:asciiTheme="minorHAnsi" w:hAnsiTheme="minorHAnsi" w:cstheme="minorHAnsi"/>
        </w:rPr>
        <w:tab/>
        <w:t xml:space="preserve">                                </w:t>
      </w:r>
      <w:r w:rsidR="003E109E" w:rsidRPr="006B716F">
        <w:rPr>
          <w:rFonts w:asciiTheme="minorHAnsi" w:hAnsiTheme="minorHAnsi" w:cstheme="minorHAnsi"/>
        </w:rPr>
        <w:t>Иван Пирински</w:t>
      </w:r>
    </w:p>
    <w:sectPr w:rsidR="00981269" w:rsidRPr="006B716F" w:rsidSect="003E42F2">
      <w:headerReference w:type="default" r:id="rId7"/>
      <w:footerReference w:type="default" r:id="rId8"/>
      <w:type w:val="continuous"/>
      <w:pgSz w:w="11910" w:h="16850"/>
      <w:pgMar w:top="1418" w:right="720" w:bottom="720" w:left="720" w:header="284" w:footer="488"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987A08" w14:textId="77777777" w:rsidR="00AB751F" w:rsidRDefault="00AB751F" w:rsidP="00A91195">
      <w:r>
        <w:separator/>
      </w:r>
    </w:p>
  </w:endnote>
  <w:endnote w:type="continuationSeparator" w:id="0">
    <w:p w14:paraId="50A4B942" w14:textId="77777777" w:rsidR="00AB751F" w:rsidRDefault="00AB751F" w:rsidP="00A911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86536501"/>
      <w:docPartObj>
        <w:docPartGallery w:val="Page Numbers (Bottom of Page)"/>
        <w:docPartUnique/>
      </w:docPartObj>
    </w:sdtPr>
    <w:sdtEndPr>
      <w:rPr>
        <w:rFonts w:asciiTheme="minorHAnsi" w:hAnsiTheme="minorHAnsi" w:cstheme="minorHAnsi"/>
        <w:b/>
        <w:noProof/>
        <w:sz w:val="18"/>
        <w:szCs w:val="18"/>
      </w:rPr>
    </w:sdtEndPr>
    <w:sdtContent>
      <w:p w14:paraId="2907A9E0" w14:textId="77777777" w:rsidR="00297596" w:rsidRPr="00297596" w:rsidRDefault="00297596" w:rsidP="00711C01">
        <w:pPr>
          <w:pStyle w:val="Footer"/>
          <w:pBdr>
            <w:top w:val="single" w:sz="4" w:space="1" w:color="auto"/>
          </w:pBdr>
          <w:jc w:val="right"/>
          <w:rPr>
            <w:rFonts w:asciiTheme="minorHAnsi" w:hAnsiTheme="minorHAnsi" w:cstheme="minorHAnsi"/>
            <w:b/>
            <w:sz w:val="18"/>
            <w:szCs w:val="18"/>
          </w:rPr>
        </w:pPr>
        <w:r w:rsidRPr="00297596">
          <w:rPr>
            <w:rFonts w:asciiTheme="minorHAnsi" w:hAnsiTheme="minorHAnsi" w:cstheme="minorHAnsi"/>
            <w:b/>
            <w:sz w:val="18"/>
            <w:szCs w:val="18"/>
          </w:rPr>
          <w:fldChar w:fldCharType="begin"/>
        </w:r>
        <w:r w:rsidRPr="00297596">
          <w:rPr>
            <w:rFonts w:asciiTheme="minorHAnsi" w:hAnsiTheme="minorHAnsi" w:cstheme="minorHAnsi"/>
            <w:b/>
            <w:sz w:val="18"/>
            <w:szCs w:val="18"/>
          </w:rPr>
          <w:instrText xml:space="preserve"> PAGE   \* MERGEFORMAT </w:instrText>
        </w:r>
        <w:r w:rsidRPr="00297596">
          <w:rPr>
            <w:rFonts w:asciiTheme="minorHAnsi" w:hAnsiTheme="minorHAnsi" w:cstheme="minorHAnsi"/>
            <w:b/>
            <w:sz w:val="18"/>
            <w:szCs w:val="18"/>
          </w:rPr>
          <w:fldChar w:fldCharType="separate"/>
        </w:r>
        <w:r w:rsidR="00FD50C9">
          <w:rPr>
            <w:rFonts w:asciiTheme="minorHAnsi" w:hAnsiTheme="minorHAnsi" w:cstheme="minorHAnsi"/>
            <w:b/>
            <w:noProof/>
            <w:sz w:val="18"/>
            <w:szCs w:val="18"/>
          </w:rPr>
          <w:t>2</w:t>
        </w:r>
        <w:r w:rsidRPr="00297596">
          <w:rPr>
            <w:rFonts w:asciiTheme="minorHAnsi" w:hAnsiTheme="minorHAnsi" w:cstheme="minorHAnsi"/>
            <w:b/>
            <w:noProof/>
            <w:sz w:val="18"/>
            <w:szCs w:val="18"/>
          </w:rPr>
          <w:fldChar w:fldCharType="end"/>
        </w:r>
      </w:p>
    </w:sdtContent>
  </w:sdt>
  <w:p w14:paraId="260CBC0F" w14:textId="77777777" w:rsidR="00297596" w:rsidRDefault="002975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1646E9" w14:textId="77777777" w:rsidR="00AB751F" w:rsidRDefault="00AB751F" w:rsidP="00A91195">
      <w:r>
        <w:separator/>
      </w:r>
    </w:p>
  </w:footnote>
  <w:footnote w:type="continuationSeparator" w:id="0">
    <w:p w14:paraId="24F639A5" w14:textId="77777777" w:rsidR="00AB751F" w:rsidRDefault="00AB751F" w:rsidP="00A911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55F9E2" w14:textId="2E311D4F" w:rsidR="00A91195" w:rsidRPr="00E57C3C" w:rsidRDefault="00A91195" w:rsidP="00A91195">
    <w:pPr>
      <w:tabs>
        <w:tab w:val="center" w:pos="4536"/>
        <w:tab w:val="right" w:pos="9072"/>
      </w:tabs>
      <w:rPr>
        <w:rFonts w:asciiTheme="minorHAnsi" w:hAnsiTheme="minorHAnsi" w:cstheme="minorHAnsi"/>
        <w:sz w:val="32"/>
        <w:szCs w:val="32"/>
        <w:lang w:eastAsia="en-US" w:bidi="ar-SA"/>
      </w:rPr>
    </w:pPr>
    <w:r w:rsidRPr="00E57C3C">
      <w:rPr>
        <w:rFonts w:asciiTheme="minorHAnsi" w:hAnsiTheme="minorHAnsi" w:cstheme="minorHAnsi"/>
        <w:sz w:val="32"/>
        <w:szCs w:val="32"/>
        <w:lang w:eastAsia="en-US" w:bidi="ar-SA"/>
      </w:rPr>
      <w:t xml:space="preserve">Компас Фонд за </w:t>
    </w:r>
    <w:r w:rsidR="003E109E">
      <w:rPr>
        <w:rFonts w:asciiTheme="minorHAnsi" w:hAnsiTheme="minorHAnsi" w:cstheme="minorHAnsi"/>
        <w:sz w:val="32"/>
        <w:szCs w:val="32"/>
        <w:lang w:eastAsia="en-US" w:bidi="ar-SA"/>
      </w:rPr>
      <w:t>В</w:t>
    </w:r>
    <w:r w:rsidRPr="00E57C3C">
      <w:rPr>
        <w:rFonts w:asciiTheme="minorHAnsi" w:hAnsiTheme="minorHAnsi" w:cstheme="minorHAnsi"/>
        <w:sz w:val="32"/>
        <w:szCs w:val="32"/>
        <w:lang w:eastAsia="en-US" w:bidi="ar-SA"/>
      </w:rPr>
      <w:t>земания АДСИЦ</w:t>
    </w:r>
  </w:p>
  <w:p w14:paraId="078FB65A" w14:textId="77777777" w:rsidR="00A91195" w:rsidRDefault="00A911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singleLevel"/>
    <w:tmpl w:val="00000004"/>
    <w:name w:val="WW8Num6"/>
    <w:lvl w:ilvl="0">
      <w:start w:val="1"/>
      <w:numFmt w:val="bullet"/>
      <w:lvlText w:val=""/>
      <w:lvlJc w:val="left"/>
      <w:pPr>
        <w:tabs>
          <w:tab w:val="num" w:pos="0"/>
        </w:tabs>
        <w:ind w:left="720" w:hanging="360"/>
      </w:pPr>
      <w:rPr>
        <w:rFonts w:ascii="Symbol" w:hAnsi="Symbol" w:cs="Symbol" w:hint="default"/>
      </w:rPr>
    </w:lvl>
  </w:abstractNum>
  <w:abstractNum w:abstractNumId="1" w15:restartNumberingAfterBreak="0">
    <w:nsid w:val="07CE1C2E"/>
    <w:multiLevelType w:val="hybridMultilevel"/>
    <w:tmpl w:val="D6143D3A"/>
    <w:lvl w:ilvl="0" w:tplc="FF18ECF0">
      <w:start w:val="1"/>
      <w:numFmt w:val="bullet"/>
      <w:lvlText w:val=""/>
      <w:lvlJc w:val="left"/>
      <w:pPr>
        <w:ind w:left="720" w:hanging="360"/>
      </w:pPr>
      <w:rPr>
        <w:rFonts w:ascii="Symbol" w:hAnsi="Symbol" w:hint="default"/>
        <w:b/>
        <w:sz w:val="20"/>
        <w:szCs w:val="20"/>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 w15:restartNumberingAfterBreak="0">
    <w:nsid w:val="4714143E"/>
    <w:multiLevelType w:val="hybridMultilevel"/>
    <w:tmpl w:val="B9EE760E"/>
    <w:lvl w:ilvl="0" w:tplc="E5CED41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15:restartNumberingAfterBreak="0">
    <w:nsid w:val="53022D79"/>
    <w:multiLevelType w:val="hybridMultilevel"/>
    <w:tmpl w:val="B9EE760E"/>
    <w:lvl w:ilvl="0" w:tplc="E5CED41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16cid:durableId="1440904802">
    <w:abstractNumId w:val="1"/>
  </w:num>
  <w:num w:numId="2" w16cid:durableId="1066104762">
    <w:abstractNumId w:val="2"/>
  </w:num>
  <w:num w:numId="3" w16cid:durableId="17241566">
    <w:abstractNumId w:val="0"/>
  </w:num>
  <w:num w:numId="4" w16cid:durableId="8742733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hideSpellingErrors/>
  <w:hideGrammaticalErrors/>
  <w:proofState w:spelling="clean" w:grammar="clean"/>
  <w:defaultTabStop w:val="720"/>
  <w:hyphenationZone w:val="425"/>
  <w:drawingGridHorizontalSpacing w:val="110"/>
  <w:displayHorizontalDrawingGridEvery w:val="2"/>
  <w:characterSpacingControl w:val="doNotCompress"/>
  <w:hdrShapeDefaults>
    <o:shapedefaults v:ext="edit" spidmax="2252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50F6"/>
    <w:rsid w:val="000031FE"/>
    <w:rsid w:val="000866CC"/>
    <w:rsid w:val="00107C61"/>
    <w:rsid w:val="00145C2F"/>
    <w:rsid w:val="001A1AF2"/>
    <w:rsid w:val="001F7308"/>
    <w:rsid w:val="00283102"/>
    <w:rsid w:val="00297596"/>
    <w:rsid w:val="00325774"/>
    <w:rsid w:val="00333913"/>
    <w:rsid w:val="003460DC"/>
    <w:rsid w:val="003502A1"/>
    <w:rsid w:val="003E109E"/>
    <w:rsid w:val="003E42F2"/>
    <w:rsid w:val="003F0EB8"/>
    <w:rsid w:val="00423784"/>
    <w:rsid w:val="00446387"/>
    <w:rsid w:val="004859DB"/>
    <w:rsid w:val="00486E45"/>
    <w:rsid w:val="00510FFC"/>
    <w:rsid w:val="005168BE"/>
    <w:rsid w:val="005400DF"/>
    <w:rsid w:val="00557E14"/>
    <w:rsid w:val="005D633E"/>
    <w:rsid w:val="006440A4"/>
    <w:rsid w:val="00650D81"/>
    <w:rsid w:val="006B716F"/>
    <w:rsid w:val="006E1DE3"/>
    <w:rsid w:val="00711C01"/>
    <w:rsid w:val="007767B8"/>
    <w:rsid w:val="00780E9B"/>
    <w:rsid w:val="007E7643"/>
    <w:rsid w:val="00834EE9"/>
    <w:rsid w:val="0084360D"/>
    <w:rsid w:val="00861EC6"/>
    <w:rsid w:val="00895FBC"/>
    <w:rsid w:val="008D5102"/>
    <w:rsid w:val="008E4915"/>
    <w:rsid w:val="008E7785"/>
    <w:rsid w:val="00906559"/>
    <w:rsid w:val="00981269"/>
    <w:rsid w:val="00981567"/>
    <w:rsid w:val="009E5272"/>
    <w:rsid w:val="00A3167F"/>
    <w:rsid w:val="00A91195"/>
    <w:rsid w:val="00AB751F"/>
    <w:rsid w:val="00AC56FE"/>
    <w:rsid w:val="00BC5E40"/>
    <w:rsid w:val="00C433EC"/>
    <w:rsid w:val="00C50F24"/>
    <w:rsid w:val="00C92FE7"/>
    <w:rsid w:val="00D00761"/>
    <w:rsid w:val="00D0604B"/>
    <w:rsid w:val="00D22D7C"/>
    <w:rsid w:val="00DA00C0"/>
    <w:rsid w:val="00E57C3C"/>
    <w:rsid w:val="00EF180B"/>
    <w:rsid w:val="00F801B1"/>
    <w:rsid w:val="00FA17AD"/>
    <w:rsid w:val="00FD50C9"/>
    <w:rsid w:val="00FD50F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2BEE1E58"/>
  <w15:docId w15:val="{B9230712-AE72-44B5-8521-737B746B0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val="bg-BG" w:eastAsia="bg-BG" w:bidi="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b/>
      <w:bCs/>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line="247" w:lineRule="exact"/>
      <w:ind w:left="108"/>
    </w:pPr>
  </w:style>
  <w:style w:type="paragraph" w:styleId="Header">
    <w:name w:val="header"/>
    <w:basedOn w:val="Normal"/>
    <w:link w:val="HeaderChar"/>
    <w:uiPriority w:val="99"/>
    <w:unhideWhenUsed/>
    <w:rsid w:val="00A91195"/>
    <w:pPr>
      <w:tabs>
        <w:tab w:val="center" w:pos="4536"/>
        <w:tab w:val="right" w:pos="9072"/>
      </w:tabs>
    </w:pPr>
  </w:style>
  <w:style w:type="character" w:customStyle="1" w:styleId="HeaderChar">
    <w:name w:val="Header Char"/>
    <w:basedOn w:val="DefaultParagraphFont"/>
    <w:link w:val="Header"/>
    <w:uiPriority w:val="99"/>
    <w:rsid w:val="00A91195"/>
    <w:rPr>
      <w:rFonts w:ascii="Times New Roman" w:eastAsia="Times New Roman" w:hAnsi="Times New Roman" w:cs="Times New Roman"/>
      <w:lang w:val="bg-BG" w:eastAsia="bg-BG" w:bidi="bg-BG"/>
    </w:rPr>
  </w:style>
  <w:style w:type="paragraph" w:styleId="Footer">
    <w:name w:val="footer"/>
    <w:basedOn w:val="Normal"/>
    <w:link w:val="FooterChar"/>
    <w:uiPriority w:val="99"/>
    <w:unhideWhenUsed/>
    <w:rsid w:val="00A91195"/>
    <w:pPr>
      <w:tabs>
        <w:tab w:val="center" w:pos="4536"/>
        <w:tab w:val="right" w:pos="9072"/>
      </w:tabs>
    </w:pPr>
  </w:style>
  <w:style w:type="character" w:customStyle="1" w:styleId="FooterChar">
    <w:name w:val="Footer Char"/>
    <w:basedOn w:val="DefaultParagraphFont"/>
    <w:link w:val="Footer"/>
    <w:uiPriority w:val="99"/>
    <w:rsid w:val="00A91195"/>
    <w:rPr>
      <w:rFonts w:ascii="Times New Roman" w:eastAsia="Times New Roman" w:hAnsi="Times New Roman" w:cs="Times New Roman"/>
      <w:lang w:val="bg-BG" w:eastAsia="bg-BG" w:bidi="bg-BG"/>
    </w:rPr>
  </w:style>
  <w:style w:type="paragraph" w:customStyle="1" w:styleId="Default">
    <w:name w:val="Default"/>
    <w:rsid w:val="00C92FE7"/>
    <w:pPr>
      <w:widowControl/>
      <w:adjustRightInd w:val="0"/>
    </w:pPr>
    <w:rPr>
      <w:rFonts w:ascii="Tahoma" w:hAnsi="Tahoma" w:cs="Tahoma"/>
      <w:color w:val="000000"/>
      <w:sz w:val="24"/>
      <w:szCs w:val="24"/>
      <w:lang w:val="bg-BG"/>
    </w:rPr>
  </w:style>
  <w:style w:type="character" w:customStyle="1" w:styleId="BodyTextChar">
    <w:name w:val="Body Text Char"/>
    <w:basedOn w:val="DefaultParagraphFont"/>
    <w:link w:val="BodyText"/>
    <w:uiPriority w:val="1"/>
    <w:rsid w:val="00325774"/>
    <w:rPr>
      <w:rFonts w:ascii="Times New Roman" w:eastAsia="Times New Roman" w:hAnsi="Times New Roman" w:cs="Times New Roman"/>
      <w:b/>
      <w:bCs/>
      <w:sz w:val="24"/>
      <w:szCs w:val="24"/>
      <w:lang w:val="bg-BG" w:eastAsia="bg-BG" w:bidi="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691</Words>
  <Characters>3942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Наредба № 2 за проспектите</vt:lpstr>
    </vt:vector>
  </TitlesOfParts>
  <Company/>
  <LinksUpToDate>false</LinksUpToDate>
  <CharactersWithSpaces>4624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Наредба № 2 за проспектите</dc:title>
  <dc:creator>DVI</dc:creator>
  <cp:lastModifiedBy>Valentin Stoilov</cp:lastModifiedBy>
  <cp:revision>3</cp:revision>
  <dcterms:created xsi:type="dcterms:W3CDTF">2023-07-18T12:23:00Z</dcterms:created>
  <dcterms:modified xsi:type="dcterms:W3CDTF">2023-07-18T12:38:00Z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2020-07-22T00:00:00Z</vt:filetime>
  </property>
  <property fmtid="{D5CDD505-2E9C-101B-9397-08002B2CF9AE}" pid="3" name="Creator">
    <vt:lpwstr>Acrobat PDFMaker 11 for Word</vt:lpwstr>
  </property>
  <property fmtid="{D5CDD505-2E9C-101B-9397-08002B2CF9AE}" pid="4" name="LastSaved">
    <vt:filetime>2020-08-20T00:00:00Z</vt:filetime>
  </property>
</Properties>
</file>